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2A8" w14:textId="77777777" w:rsidR="00C33126" w:rsidRPr="00C33126" w:rsidRDefault="00C33126" w:rsidP="00C33126">
      <w:pPr>
        <w:pStyle w:val="Title"/>
        <w:jc w:val="center"/>
        <w:rPr>
          <w:rFonts w:ascii="Aptos" w:hAnsi="Aptos"/>
          <w:sz w:val="48"/>
          <w:szCs w:val="48"/>
        </w:rPr>
      </w:pPr>
      <w:r w:rsidRPr="00C33126">
        <w:rPr>
          <w:rFonts w:ascii="Aptos" w:hAnsi="Aptos"/>
          <w:sz w:val="48"/>
          <w:szCs w:val="48"/>
        </w:rPr>
        <w:t>North Tipperary Development Company (NTDC)</w:t>
      </w:r>
    </w:p>
    <w:p w14:paraId="0A9FDDD6" w14:textId="77777777" w:rsidR="00C33126" w:rsidRPr="00C33126" w:rsidRDefault="00C33126" w:rsidP="00C33126">
      <w:pPr>
        <w:rPr>
          <w:rFonts w:ascii="Aptos" w:hAnsi="Aptos"/>
        </w:rPr>
      </w:pPr>
    </w:p>
    <w:p w14:paraId="320E1650" w14:textId="77777777" w:rsidR="00C33126" w:rsidRPr="00C33126" w:rsidRDefault="00C33126" w:rsidP="00C33126">
      <w:pPr>
        <w:jc w:val="center"/>
        <w:rPr>
          <w:rFonts w:ascii="Aptos" w:hAnsi="Aptos"/>
          <w:i/>
          <w:iCs/>
          <w:sz w:val="24"/>
          <w:szCs w:val="24"/>
        </w:rPr>
      </w:pPr>
      <w:r w:rsidRPr="00C33126">
        <w:rPr>
          <w:rFonts w:ascii="Aptos" w:hAnsi="Aptos"/>
          <w:i/>
          <w:iCs/>
          <w:sz w:val="24"/>
          <w:szCs w:val="24"/>
        </w:rPr>
        <w:t>“Supporting Inclusive Communities Across Tipperary”</w:t>
      </w:r>
    </w:p>
    <w:p w14:paraId="617ABE0C" w14:textId="77777777" w:rsidR="00C33126" w:rsidRPr="00C33126" w:rsidRDefault="00C33126" w:rsidP="00C33126">
      <w:pPr>
        <w:jc w:val="center"/>
        <w:rPr>
          <w:rFonts w:ascii="Aptos" w:hAnsi="Aptos"/>
          <w:i/>
          <w:iCs/>
          <w:sz w:val="24"/>
          <w:szCs w:val="24"/>
        </w:rPr>
      </w:pPr>
    </w:p>
    <w:p w14:paraId="3CD9BB09" w14:textId="77777777" w:rsidR="00C33126" w:rsidRPr="00C33126" w:rsidRDefault="00C33126" w:rsidP="00C33126">
      <w:pPr>
        <w:jc w:val="center"/>
        <w:rPr>
          <w:rFonts w:ascii="Aptos" w:hAnsi="Aptos"/>
        </w:rPr>
      </w:pPr>
      <w:r w:rsidRPr="00C33126">
        <w:rPr>
          <w:rFonts w:ascii="Aptos" w:hAnsi="Aptos"/>
          <w:noProof/>
        </w:rPr>
        <w:drawing>
          <wp:inline distT="0" distB="0" distL="0" distR="0" wp14:anchorId="44D53341" wp14:editId="421C24AC">
            <wp:extent cx="2019300" cy="912334"/>
            <wp:effectExtent l="0" t="0" r="0" b="2540"/>
            <wp:docPr id="813227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277" name="Picture 1" descr="A logo for a company&#10;&#10;AI-generated content may be incorrect."/>
                    <pic:cNvPicPr/>
                  </pic:nvPicPr>
                  <pic:blipFill>
                    <a:blip r:embed="rId6"/>
                    <a:stretch>
                      <a:fillRect/>
                    </a:stretch>
                  </pic:blipFill>
                  <pic:spPr>
                    <a:xfrm>
                      <a:off x="0" y="0"/>
                      <a:ext cx="2029597" cy="916986"/>
                    </a:xfrm>
                    <a:prstGeom prst="rect">
                      <a:avLst/>
                    </a:prstGeom>
                  </pic:spPr>
                </pic:pic>
              </a:graphicData>
            </a:graphic>
          </wp:inline>
        </w:drawing>
      </w:r>
      <w:r w:rsidRPr="00C33126">
        <w:rPr>
          <w:rFonts w:ascii="Aptos" w:hAnsi="Aptos"/>
          <w:noProof/>
        </w:rPr>
        <w:drawing>
          <wp:inline distT="0" distB="0" distL="0" distR="0" wp14:anchorId="4CB7AF14" wp14:editId="3DC46EE1">
            <wp:extent cx="901837" cy="883920"/>
            <wp:effectExtent l="0" t="0" r="0" b="0"/>
            <wp:docPr id="71646497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64973" name="Picture 2" descr="A logo for a company&#10;&#10;AI-generated content may be incorrect."/>
                    <pic:cNvPicPr/>
                  </pic:nvPicPr>
                  <pic:blipFill>
                    <a:blip r:embed="rId7"/>
                    <a:stretch>
                      <a:fillRect/>
                    </a:stretch>
                  </pic:blipFill>
                  <pic:spPr>
                    <a:xfrm>
                      <a:off x="0" y="0"/>
                      <a:ext cx="903936" cy="885978"/>
                    </a:xfrm>
                    <a:prstGeom prst="rect">
                      <a:avLst/>
                    </a:prstGeom>
                  </pic:spPr>
                </pic:pic>
              </a:graphicData>
            </a:graphic>
          </wp:inline>
        </w:drawing>
      </w:r>
    </w:p>
    <w:p w14:paraId="07E91899" w14:textId="30DD8A40" w:rsidR="00C33126" w:rsidRPr="00C33126" w:rsidRDefault="00C33126" w:rsidP="00C33126">
      <w:pPr>
        <w:jc w:val="center"/>
        <w:rPr>
          <w:rFonts w:ascii="Aptos" w:eastAsia="Times New Roman" w:hAnsi="Aptos" w:cs="Times New Roman"/>
          <w:sz w:val="18"/>
          <w:szCs w:val="18"/>
          <w:lang w:eastAsia="en-IE"/>
        </w:rPr>
      </w:pPr>
      <w:r w:rsidRPr="00C33126">
        <w:rPr>
          <w:rFonts w:ascii="Aptos" w:hAnsi="Aptos"/>
          <w:sz w:val="20"/>
          <w:szCs w:val="20"/>
        </w:rPr>
        <w:br/>
      </w:r>
      <w:r w:rsidRPr="00C33126">
        <w:rPr>
          <w:rFonts w:ascii="Aptos" w:hAnsi="Aptos"/>
          <w:sz w:val="24"/>
          <w:szCs w:val="24"/>
        </w:rPr>
        <w:t xml:space="preserve">Company Registration (CAB) Number: </w:t>
      </w:r>
      <w:r w:rsidRPr="00C33126">
        <w:rPr>
          <w:rFonts w:ascii="Aptos" w:eastAsia="Times New Roman" w:hAnsi="Aptos" w:cs="Times New Roman"/>
          <w:color w:val="000000"/>
          <w:lang w:eastAsia="en-IE"/>
        </w:rPr>
        <w:t>LOT 22-1</w:t>
      </w:r>
    </w:p>
    <w:p w14:paraId="14614E45" w14:textId="77777777" w:rsidR="00C33126" w:rsidRPr="00C33126" w:rsidRDefault="00C33126" w:rsidP="00C33126">
      <w:pPr>
        <w:rPr>
          <w:rFonts w:ascii="Aptos" w:hAnsi="Aptos"/>
          <w:b/>
          <w:bCs/>
          <w:sz w:val="28"/>
          <w:szCs w:val="28"/>
        </w:rPr>
      </w:pPr>
    </w:p>
    <w:p w14:paraId="73B4F7D8" w14:textId="5433765A" w:rsidR="00C33126" w:rsidRPr="00C33126" w:rsidRDefault="00C33126" w:rsidP="00C33126">
      <w:pPr>
        <w:jc w:val="center"/>
        <w:rPr>
          <w:rFonts w:ascii="Aptos" w:hAnsi="Aptos"/>
          <w:sz w:val="32"/>
          <w:szCs w:val="32"/>
        </w:rPr>
      </w:pPr>
      <w:r w:rsidRPr="00C33126">
        <w:rPr>
          <w:rFonts w:ascii="Aptos" w:hAnsi="Aptos"/>
          <w:b/>
          <w:bCs/>
          <w:sz w:val="32"/>
          <w:szCs w:val="32"/>
        </w:rPr>
        <w:t>Title</w:t>
      </w:r>
      <w:r w:rsidRPr="00C33126">
        <w:rPr>
          <w:rFonts w:ascii="Aptos" w:hAnsi="Aptos"/>
          <w:sz w:val="32"/>
          <w:szCs w:val="32"/>
        </w:rPr>
        <w:t xml:space="preserve">: Social Inclusion for Men’s Traveller Group </w:t>
      </w:r>
    </w:p>
    <w:p w14:paraId="00F67DB4" w14:textId="77777777" w:rsidR="00C33126" w:rsidRDefault="00C33126" w:rsidP="00C33126">
      <w:pPr>
        <w:jc w:val="center"/>
        <w:rPr>
          <w:rFonts w:ascii="Aptos" w:hAnsi="Aptos"/>
          <w:sz w:val="28"/>
          <w:szCs w:val="28"/>
        </w:rPr>
      </w:pPr>
    </w:p>
    <w:p w14:paraId="740478BE" w14:textId="02362C14" w:rsidR="00C33126" w:rsidRPr="00C33126" w:rsidRDefault="00C33126" w:rsidP="00C33126">
      <w:pPr>
        <w:jc w:val="center"/>
        <w:rPr>
          <w:rFonts w:ascii="Aptos" w:hAnsi="Aptos"/>
          <w:b/>
          <w:bCs/>
          <w:sz w:val="36"/>
          <w:szCs w:val="36"/>
        </w:rPr>
      </w:pPr>
      <w:r w:rsidRPr="00C33126">
        <w:rPr>
          <w:rFonts w:ascii="Aptos" w:hAnsi="Aptos"/>
          <w:b/>
          <w:bCs/>
          <w:sz w:val="36"/>
          <w:szCs w:val="36"/>
        </w:rPr>
        <w:t>Case Study Narrative</w:t>
      </w:r>
    </w:p>
    <w:p w14:paraId="5C1BA9DF" w14:textId="77777777" w:rsidR="00C33126" w:rsidRPr="00C33126" w:rsidRDefault="00C33126" w:rsidP="00C33126">
      <w:pPr>
        <w:jc w:val="center"/>
        <w:rPr>
          <w:rFonts w:ascii="Aptos" w:hAnsi="Aptos"/>
          <w:b/>
          <w:bCs/>
          <w:sz w:val="28"/>
          <w:szCs w:val="28"/>
        </w:rPr>
      </w:pPr>
    </w:p>
    <w:p w14:paraId="0A1793C6" w14:textId="00950585" w:rsidR="00C33126" w:rsidRPr="00C33126" w:rsidRDefault="00C33126" w:rsidP="00C33126">
      <w:pPr>
        <w:jc w:val="center"/>
        <w:rPr>
          <w:rFonts w:ascii="Aptos" w:hAnsi="Aptos"/>
          <w:sz w:val="28"/>
          <w:szCs w:val="28"/>
        </w:rPr>
      </w:pPr>
      <w:r w:rsidRPr="00C33126">
        <w:rPr>
          <w:rFonts w:ascii="Aptos" w:hAnsi="Aptos"/>
          <w:sz w:val="28"/>
          <w:szCs w:val="28"/>
        </w:rPr>
        <w:t>Case Study Theme</w:t>
      </w:r>
      <w:r w:rsidRPr="00C33126">
        <w:rPr>
          <w:rFonts w:ascii="Aptos" w:hAnsi="Aptos"/>
          <w:b/>
          <w:bCs/>
          <w:sz w:val="28"/>
          <w:szCs w:val="28"/>
        </w:rPr>
        <w:t xml:space="preserve">: </w:t>
      </w:r>
      <w:r w:rsidRPr="00C33126">
        <w:rPr>
          <w:rFonts w:ascii="Aptos" w:hAnsi="Aptos"/>
          <w:sz w:val="28"/>
          <w:szCs w:val="28"/>
        </w:rPr>
        <w:t>Social Inclusion</w:t>
      </w:r>
      <w:r w:rsidRPr="00C33126">
        <w:rPr>
          <w:rFonts w:ascii="Aptos" w:hAnsi="Aptos"/>
          <w:b/>
          <w:bCs/>
          <w:sz w:val="28"/>
          <w:szCs w:val="28"/>
        </w:rPr>
        <w:br/>
        <w:t xml:space="preserve">Associated Sub-themes: </w:t>
      </w:r>
      <w:r w:rsidRPr="00C33126">
        <w:rPr>
          <w:rFonts w:ascii="Aptos" w:hAnsi="Aptos"/>
          <w:sz w:val="28"/>
          <w:szCs w:val="28"/>
        </w:rPr>
        <w:t>Education, Mental Health Awareness, Community</w:t>
      </w:r>
      <w:r w:rsidRPr="00C33126">
        <w:rPr>
          <w:rFonts w:ascii="Aptos" w:hAnsi="Aptos"/>
          <w:b/>
          <w:bCs/>
          <w:sz w:val="28"/>
          <w:szCs w:val="28"/>
        </w:rPr>
        <w:t xml:space="preserve"> </w:t>
      </w:r>
      <w:r w:rsidRPr="00C33126">
        <w:rPr>
          <w:rFonts w:ascii="Aptos" w:hAnsi="Aptos"/>
          <w:sz w:val="28"/>
          <w:szCs w:val="28"/>
        </w:rPr>
        <w:t>Engagement, Intergenerational Participation</w:t>
      </w:r>
      <w:r w:rsidRPr="00C33126">
        <w:rPr>
          <w:rFonts w:ascii="Aptos" w:hAnsi="Aptos"/>
          <w:sz w:val="28"/>
          <w:szCs w:val="28"/>
        </w:rPr>
        <w:br/>
      </w:r>
    </w:p>
    <w:p w14:paraId="458CC7AE" w14:textId="77777777" w:rsidR="00C33126" w:rsidRPr="00C33126" w:rsidRDefault="00C33126" w:rsidP="00C33126">
      <w:pPr>
        <w:rPr>
          <w:rFonts w:ascii="Aptos" w:hAnsi="Aptos"/>
          <w:sz w:val="24"/>
          <w:szCs w:val="24"/>
        </w:rPr>
      </w:pPr>
      <w:r w:rsidRPr="00C33126">
        <w:rPr>
          <w:rFonts w:ascii="Aptos" w:hAnsi="Aptos"/>
          <w:sz w:val="24"/>
          <w:szCs w:val="24"/>
        </w:rPr>
        <w:br/>
      </w:r>
      <w:r w:rsidRPr="00C33126">
        <w:rPr>
          <w:rFonts w:ascii="Aptos" w:hAnsi="Aptos"/>
          <w:b/>
          <w:bCs/>
          <w:sz w:val="24"/>
          <w:szCs w:val="24"/>
        </w:rPr>
        <w:t>Intended Audience</w:t>
      </w:r>
      <w:r w:rsidRPr="00C33126">
        <w:rPr>
          <w:rFonts w:ascii="Aptos" w:hAnsi="Aptos"/>
          <w:sz w:val="24"/>
          <w:szCs w:val="24"/>
        </w:rPr>
        <w:t>: Pobal, Local Community Development Committee (LCDC), Tipperary County Council, community partners, and the wider public to highlight the impact of SICAP work and encourage future participation from Traveller men and potential new beneficiaries.</w:t>
      </w:r>
    </w:p>
    <w:p w14:paraId="4791C64D" w14:textId="77777777" w:rsidR="00C33126" w:rsidRPr="00C33126" w:rsidRDefault="00C33126">
      <w:pPr>
        <w:rPr>
          <w:rFonts w:ascii="Aptos" w:hAnsi="Aptos"/>
        </w:rPr>
      </w:pPr>
    </w:p>
    <w:p w14:paraId="0079DA52" w14:textId="0999BB4A" w:rsidR="00C33126" w:rsidRPr="00C33126" w:rsidRDefault="00C33126">
      <w:pPr>
        <w:rPr>
          <w:rFonts w:ascii="Aptos" w:hAnsi="Aptos"/>
          <w:b/>
          <w:bCs/>
          <w:sz w:val="24"/>
          <w:szCs w:val="24"/>
        </w:rPr>
      </w:pPr>
      <w:bookmarkStart w:id="0" w:name="_Hlk214875268"/>
      <w:r w:rsidRPr="00C33126">
        <w:rPr>
          <w:rFonts w:ascii="Aptos" w:hAnsi="Aptos"/>
          <w:b/>
          <w:bCs/>
          <w:sz w:val="24"/>
          <w:szCs w:val="24"/>
        </w:rPr>
        <w:lastRenderedPageBreak/>
        <w:t>Case Study Video Narrative:</w:t>
      </w:r>
    </w:p>
    <w:p w14:paraId="415BA43F" w14:textId="440B4C45" w:rsidR="00A5211B" w:rsidRPr="00C33126" w:rsidRDefault="00C21597">
      <w:pPr>
        <w:rPr>
          <w:rFonts w:ascii="Aptos" w:hAnsi="Aptos"/>
          <w:sz w:val="24"/>
          <w:szCs w:val="24"/>
        </w:rPr>
      </w:pPr>
      <w:r w:rsidRPr="00C33126">
        <w:rPr>
          <w:rFonts w:ascii="Aptos" w:hAnsi="Aptos"/>
          <w:sz w:val="24"/>
          <w:szCs w:val="24"/>
        </w:rPr>
        <w:t>This case study from North Tipperary Development Company, delivered under SICAP and supported by Tipperary LCDC and Tipperary County Council, tells the story of the Traveller Men’s Group—an initiative rooted in inclusion, education, and wellbeing. Under the theme of Social Inclusion, with sub-themes of education, mental health, community engagement, and intergenerational participation, this project set out to address a need that had become increasingly clear across North Tipperary.</w:t>
      </w:r>
    </w:p>
    <w:p w14:paraId="73B8DB20" w14:textId="77777777" w:rsidR="00A5211B" w:rsidRPr="00C33126" w:rsidRDefault="00A5211B">
      <w:pPr>
        <w:rPr>
          <w:rFonts w:ascii="Aptos" w:hAnsi="Aptos"/>
          <w:sz w:val="24"/>
          <w:szCs w:val="24"/>
        </w:rPr>
      </w:pPr>
    </w:p>
    <w:p w14:paraId="15BB5D74" w14:textId="77777777" w:rsidR="00A5211B" w:rsidRPr="00C33126" w:rsidRDefault="00C21597">
      <w:pPr>
        <w:rPr>
          <w:rFonts w:ascii="Aptos" w:hAnsi="Aptos"/>
          <w:sz w:val="24"/>
          <w:szCs w:val="24"/>
        </w:rPr>
      </w:pPr>
      <w:r w:rsidRPr="00C33126">
        <w:rPr>
          <w:rFonts w:ascii="Aptos" w:hAnsi="Aptos"/>
          <w:sz w:val="24"/>
          <w:szCs w:val="24"/>
        </w:rPr>
        <w:t>SICAP staff were witnessing rising isolation among Traveller men—men who felt disconnected from mainstream services, unsure of their place in community life, and burdened by negative experiences in school, public settings, and institutions. In response, NTDC took a grounded and culturally sensitive approach, creating a safe, consistent space where men could come together without judgement and slowly rebuild their confidence. These weekly sessions formed the backbone of the programme, offering trust, structure, and a sense of belonging.</w:t>
      </w:r>
    </w:p>
    <w:p w14:paraId="4FFCE44F" w14:textId="77777777" w:rsidR="00A5211B" w:rsidRPr="00C33126" w:rsidRDefault="00A5211B">
      <w:pPr>
        <w:rPr>
          <w:rFonts w:ascii="Aptos" w:hAnsi="Aptos"/>
          <w:sz w:val="24"/>
          <w:szCs w:val="24"/>
        </w:rPr>
      </w:pPr>
    </w:p>
    <w:p w14:paraId="33CF9B3E" w14:textId="77777777" w:rsidR="00A5211B" w:rsidRPr="00C33126" w:rsidRDefault="00C21597">
      <w:pPr>
        <w:rPr>
          <w:rFonts w:ascii="Aptos" w:hAnsi="Aptos"/>
          <w:sz w:val="24"/>
          <w:szCs w:val="24"/>
        </w:rPr>
      </w:pPr>
      <w:r w:rsidRPr="00C33126">
        <w:rPr>
          <w:rFonts w:ascii="Aptos" w:hAnsi="Aptos"/>
          <w:sz w:val="24"/>
          <w:szCs w:val="24"/>
        </w:rPr>
        <w:t>A wide group of stakeholders supported this work. The SICAP team—Kate Madden, Mark O’Dwyer, Michael Kirwan, Kevin Burrows, along with media support from Dean Kennedy and Jamie Griffin—worked in partnership with the Traveller Health Programme, Tipperary ETB, Nenagh Men’s Shed, the leisure centres in Nenagh and Thurles, the Irish Horse Welfare Trust, and Templemore Boxing Club. Each partner played a role in opening doors that had previously felt closed, creating opportunities for learning, skills development, and community connection.</w:t>
      </w:r>
    </w:p>
    <w:p w14:paraId="3E836C9F" w14:textId="77777777" w:rsidR="00A5211B" w:rsidRPr="00C33126" w:rsidRDefault="00A5211B">
      <w:pPr>
        <w:rPr>
          <w:rFonts w:ascii="Aptos" w:hAnsi="Aptos"/>
          <w:sz w:val="24"/>
          <w:szCs w:val="24"/>
        </w:rPr>
      </w:pPr>
    </w:p>
    <w:p w14:paraId="52EAD418" w14:textId="77777777" w:rsidR="00A5211B" w:rsidRPr="00C33126" w:rsidRDefault="00C21597">
      <w:pPr>
        <w:rPr>
          <w:rFonts w:ascii="Aptos" w:hAnsi="Aptos"/>
          <w:sz w:val="24"/>
          <w:szCs w:val="24"/>
        </w:rPr>
      </w:pPr>
      <w:r w:rsidRPr="00C33126">
        <w:rPr>
          <w:rFonts w:ascii="Aptos" w:hAnsi="Aptos"/>
          <w:sz w:val="24"/>
          <w:szCs w:val="24"/>
        </w:rPr>
        <w:t>SICAP’s contribution was hands-on and consistent. Staff delivered driver theory training, facilitated weekly group sessions, coordinated ETB courses, and provided intergenerational support to the men’s teenage sons. They led the boxing workshop, supported mental health activities, and ensured that every step of the programme reflected dignity, cultural respect, and the priorities identified by the men themselves. This is SICAP in practice: practical help, steady encouragement, and meaningful progression rooted in trust.</w:t>
      </w:r>
    </w:p>
    <w:p w14:paraId="15D78FBD" w14:textId="77777777" w:rsidR="00A5211B" w:rsidRPr="00C33126" w:rsidRDefault="00A5211B">
      <w:pPr>
        <w:rPr>
          <w:rFonts w:ascii="Aptos" w:hAnsi="Aptos"/>
          <w:sz w:val="24"/>
          <w:szCs w:val="24"/>
        </w:rPr>
      </w:pPr>
    </w:p>
    <w:p w14:paraId="09B1F22C" w14:textId="77777777" w:rsidR="00A5211B" w:rsidRPr="00C33126" w:rsidRDefault="00C21597">
      <w:pPr>
        <w:rPr>
          <w:rFonts w:ascii="Aptos" w:hAnsi="Aptos"/>
          <w:sz w:val="24"/>
          <w:szCs w:val="24"/>
        </w:rPr>
      </w:pPr>
      <w:r w:rsidRPr="00C33126">
        <w:rPr>
          <w:rFonts w:ascii="Aptos" w:hAnsi="Aptos"/>
          <w:sz w:val="24"/>
          <w:szCs w:val="24"/>
        </w:rPr>
        <w:lastRenderedPageBreak/>
        <w:t>Across the programme year, the men engaged in ten major interventions. These included weekly engagement meetings, driver theory training, two woodcarving terms, a mechanics course, a four-week fitness and nutrition programme, a mental health workshop, a boxing workshop, and two experiential learning trips—to the Irish Horse Welfare Trust in Wicklow and a group fishing day on Galway Bay. Seven core Traveller men participated consistently, with several teenage sons joining later as the group’s confidence and momentum grew.</w:t>
      </w:r>
    </w:p>
    <w:p w14:paraId="0AA4316B" w14:textId="77777777" w:rsidR="00A5211B" w:rsidRPr="00C33126" w:rsidRDefault="00A5211B">
      <w:pPr>
        <w:rPr>
          <w:rFonts w:ascii="Aptos" w:hAnsi="Aptos"/>
          <w:sz w:val="24"/>
          <w:szCs w:val="24"/>
        </w:rPr>
      </w:pPr>
    </w:p>
    <w:p w14:paraId="58088885" w14:textId="77777777" w:rsidR="00A5211B" w:rsidRPr="00C33126" w:rsidRDefault="00C21597">
      <w:pPr>
        <w:rPr>
          <w:rFonts w:ascii="Aptos" w:hAnsi="Aptos"/>
          <w:sz w:val="24"/>
          <w:szCs w:val="24"/>
        </w:rPr>
      </w:pPr>
      <w:r w:rsidRPr="00C33126">
        <w:rPr>
          <w:rFonts w:ascii="Aptos" w:hAnsi="Aptos"/>
          <w:sz w:val="24"/>
          <w:szCs w:val="24"/>
        </w:rPr>
        <w:t>The progressions speak for themselves. Men who once avoided classroom environments now hold certificates. Several passed their driver theory test. All participants achieved Equine Manual Handling certification. Attendance strengthened over time, and the men reported improved wellbeing, a greater sense of belonging, and renewed confidence engaging in community spaces like gyms, workshops, and training centres. The intergenerational impact has been especially significant, with younger men stepping into education and activities through their fathers’ example.</w:t>
      </w:r>
    </w:p>
    <w:p w14:paraId="5A6A4E6D" w14:textId="77777777" w:rsidR="00A5211B" w:rsidRPr="00C33126" w:rsidRDefault="00A5211B">
      <w:pPr>
        <w:rPr>
          <w:rFonts w:ascii="Aptos" w:hAnsi="Aptos"/>
          <w:sz w:val="24"/>
          <w:szCs w:val="24"/>
        </w:rPr>
      </w:pPr>
    </w:p>
    <w:p w14:paraId="3B4F8BF5" w14:textId="26CDE63C" w:rsidR="00A5211B" w:rsidRPr="00C33126" w:rsidRDefault="00C21597">
      <w:pPr>
        <w:rPr>
          <w:rFonts w:ascii="Aptos" w:hAnsi="Aptos"/>
          <w:sz w:val="24"/>
          <w:szCs w:val="24"/>
        </w:rPr>
      </w:pPr>
      <w:r w:rsidRPr="00C33126">
        <w:rPr>
          <w:rFonts w:ascii="Aptos" w:hAnsi="Aptos"/>
          <w:sz w:val="24"/>
          <w:szCs w:val="24"/>
        </w:rPr>
        <w:t xml:space="preserve">This project demonstrates what becomes possible when engagement is respectful, patient, and culturally grounded. It has strengthened community links, reduced isolation, and opened genuine pathways into learning, wellbeing, and participation. The Traveller Men’s Group stands as a practical, powerful example of SICAP’s </w:t>
      </w:r>
      <w:r w:rsidR="00C33126" w:rsidRPr="00C33126">
        <w:rPr>
          <w:rFonts w:ascii="Aptos" w:hAnsi="Aptos"/>
          <w:sz w:val="24"/>
          <w:szCs w:val="24"/>
        </w:rPr>
        <w:t xml:space="preserve">values </w:t>
      </w:r>
      <w:r w:rsidRPr="00C33126">
        <w:rPr>
          <w:rFonts w:ascii="Aptos" w:hAnsi="Aptos"/>
          <w:sz w:val="24"/>
          <w:szCs w:val="24"/>
        </w:rPr>
        <w:t xml:space="preserve">supporting people where they </w:t>
      </w:r>
      <w:r w:rsidR="00C33126" w:rsidRPr="00C33126">
        <w:rPr>
          <w:rFonts w:ascii="Aptos" w:hAnsi="Aptos"/>
          <w:sz w:val="24"/>
          <w:szCs w:val="24"/>
        </w:rPr>
        <w:t>are and</w:t>
      </w:r>
      <w:r w:rsidRPr="00C33126">
        <w:rPr>
          <w:rFonts w:ascii="Aptos" w:hAnsi="Aptos"/>
          <w:sz w:val="24"/>
          <w:szCs w:val="24"/>
        </w:rPr>
        <w:t xml:space="preserve"> helping them move toward where they want to go.</w:t>
      </w:r>
    </w:p>
    <w:bookmarkEnd w:id="0"/>
    <w:p w14:paraId="75B9001B" w14:textId="77777777" w:rsidR="00A5211B" w:rsidRPr="00C33126" w:rsidRDefault="00A5211B">
      <w:pPr>
        <w:rPr>
          <w:sz w:val="24"/>
          <w:szCs w:val="24"/>
        </w:rPr>
      </w:pPr>
    </w:p>
    <w:sectPr w:rsidR="00A5211B" w:rsidRPr="00C331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5899413">
    <w:abstractNumId w:val="8"/>
  </w:num>
  <w:num w:numId="2" w16cid:durableId="882057897">
    <w:abstractNumId w:val="6"/>
  </w:num>
  <w:num w:numId="3" w16cid:durableId="666516862">
    <w:abstractNumId w:val="5"/>
  </w:num>
  <w:num w:numId="4" w16cid:durableId="1146242261">
    <w:abstractNumId w:val="4"/>
  </w:num>
  <w:num w:numId="5" w16cid:durableId="708606761">
    <w:abstractNumId w:val="7"/>
  </w:num>
  <w:num w:numId="6" w16cid:durableId="1791784110">
    <w:abstractNumId w:val="3"/>
  </w:num>
  <w:num w:numId="7" w16cid:durableId="1284456490">
    <w:abstractNumId w:val="2"/>
  </w:num>
  <w:num w:numId="8" w16cid:durableId="1659654933">
    <w:abstractNumId w:val="1"/>
  </w:num>
  <w:num w:numId="9" w16cid:durableId="192413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24BB8"/>
    <w:rsid w:val="008C074D"/>
    <w:rsid w:val="00A5211B"/>
    <w:rsid w:val="00AA1D8D"/>
    <w:rsid w:val="00B47730"/>
    <w:rsid w:val="00C21597"/>
    <w:rsid w:val="00C33126"/>
    <w:rsid w:val="00CB0664"/>
    <w:rsid w:val="00F23C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97AB3"/>
  <w14:defaultImageDpi w14:val="300"/>
  <w15:docId w15:val="{6A757DE8-D07C-468C-8405-85D9E5B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Kirwan</cp:lastModifiedBy>
  <cp:revision>3</cp:revision>
  <dcterms:created xsi:type="dcterms:W3CDTF">2025-11-24T11:17:00Z</dcterms:created>
  <dcterms:modified xsi:type="dcterms:W3CDTF">2025-11-24T11:47:00Z</dcterms:modified>
  <cp:category/>
</cp:coreProperties>
</file>